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E31" w:rsidRPr="006E5E31" w:rsidRDefault="006E5E31" w:rsidP="006E5E31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E5E31">
        <w:rPr>
          <w:rFonts w:ascii="Times New Roman" w:hAnsi="Times New Roman" w:cs="Times New Roman"/>
          <w:b/>
          <w:caps/>
          <w:sz w:val="28"/>
          <w:szCs w:val="28"/>
        </w:rPr>
        <w:t>Билет № 13</w:t>
      </w:r>
    </w:p>
    <w:p w:rsidR="006E5E31" w:rsidRDefault="006E5E31" w:rsidP="006E5E3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E31">
        <w:rPr>
          <w:rFonts w:ascii="Times New Roman" w:hAnsi="Times New Roman" w:cs="Times New Roman"/>
          <w:b/>
          <w:sz w:val="28"/>
          <w:szCs w:val="28"/>
        </w:rPr>
        <w:t>Архитектура древнерусских городов: кремль (</w:t>
      </w:r>
      <w:proofErr w:type="spellStart"/>
      <w:r w:rsidRPr="006E5E31">
        <w:rPr>
          <w:rFonts w:ascii="Times New Roman" w:hAnsi="Times New Roman" w:cs="Times New Roman"/>
          <w:b/>
          <w:sz w:val="28"/>
          <w:szCs w:val="28"/>
        </w:rPr>
        <w:t>кром</w:t>
      </w:r>
      <w:proofErr w:type="spellEnd"/>
      <w:r w:rsidRPr="006E5E31">
        <w:rPr>
          <w:rFonts w:ascii="Times New Roman" w:hAnsi="Times New Roman" w:cs="Times New Roman"/>
          <w:b/>
          <w:sz w:val="28"/>
          <w:szCs w:val="28"/>
        </w:rPr>
        <w:t>, детинец), посад.</w:t>
      </w:r>
    </w:p>
    <w:p w:rsidR="006E5E31" w:rsidRPr="006E5E31" w:rsidRDefault="006E5E31" w:rsidP="006E5E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5E31" w:rsidRDefault="006E5E31" w:rsidP="006E5E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E31">
        <w:rPr>
          <w:rFonts w:ascii="Times New Roman" w:hAnsi="Times New Roman" w:cs="Times New Roman"/>
          <w:sz w:val="28"/>
          <w:szCs w:val="28"/>
        </w:rPr>
        <w:t xml:space="preserve">Дошедшее до наших дней монументальное каменное зодчество древней Руси начало складываться в конце IX века. Принятие в X веке христианства, как государственной религии, очень способствовало развитию церковной архитектуры и культурному </w:t>
      </w:r>
      <w:proofErr w:type="gramStart"/>
      <w:r w:rsidRPr="006E5E31">
        <w:rPr>
          <w:rFonts w:ascii="Times New Roman" w:hAnsi="Times New Roman" w:cs="Times New Roman"/>
          <w:sz w:val="28"/>
          <w:szCs w:val="28"/>
        </w:rPr>
        <w:t>прогрессу</w:t>
      </w:r>
      <w:proofErr w:type="gramEnd"/>
      <w:r w:rsidRPr="006E5E31">
        <w:rPr>
          <w:rFonts w:ascii="Times New Roman" w:hAnsi="Times New Roman" w:cs="Times New Roman"/>
          <w:sz w:val="28"/>
          <w:szCs w:val="28"/>
        </w:rPr>
        <w:t xml:space="preserve"> в общем. К началу IX </w:t>
      </w:r>
      <w:proofErr w:type="gramStart"/>
      <w:r w:rsidRPr="006E5E3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E5E31">
        <w:rPr>
          <w:rFonts w:ascii="Times New Roman" w:hAnsi="Times New Roman" w:cs="Times New Roman"/>
          <w:sz w:val="28"/>
          <w:szCs w:val="28"/>
        </w:rPr>
        <w:t xml:space="preserve">. на Руси насчитывалось около 30 крупных городов. Норманны (или варяги), называли ее </w:t>
      </w:r>
      <w:proofErr w:type="spellStart"/>
      <w:r w:rsidRPr="006E5E31">
        <w:rPr>
          <w:rFonts w:ascii="Times New Roman" w:hAnsi="Times New Roman" w:cs="Times New Roman"/>
          <w:sz w:val="28"/>
          <w:szCs w:val="28"/>
        </w:rPr>
        <w:t>Гардарикой</w:t>
      </w:r>
      <w:proofErr w:type="spellEnd"/>
      <w:r w:rsidRPr="006E5E31">
        <w:rPr>
          <w:rFonts w:ascii="Times New Roman" w:hAnsi="Times New Roman" w:cs="Times New Roman"/>
          <w:sz w:val="28"/>
          <w:szCs w:val="28"/>
        </w:rPr>
        <w:t xml:space="preserve"> - страной Городов. </w:t>
      </w:r>
    </w:p>
    <w:p w:rsidR="006E5E31" w:rsidRDefault="006E5E31" w:rsidP="006E5E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E31">
        <w:rPr>
          <w:rFonts w:ascii="Times New Roman" w:hAnsi="Times New Roman" w:cs="Times New Roman"/>
          <w:sz w:val="28"/>
          <w:szCs w:val="28"/>
        </w:rPr>
        <w:t xml:space="preserve">В центре древнерусского укрепленного города находился детинец, по-другому </w:t>
      </w:r>
      <w:proofErr w:type="spellStart"/>
      <w:r w:rsidRPr="006E5E31">
        <w:rPr>
          <w:rFonts w:ascii="Times New Roman" w:hAnsi="Times New Roman" w:cs="Times New Roman"/>
          <w:sz w:val="28"/>
          <w:szCs w:val="28"/>
        </w:rPr>
        <w:t>кром</w:t>
      </w:r>
      <w:proofErr w:type="spellEnd"/>
      <w:r w:rsidRPr="006E5E31">
        <w:rPr>
          <w:rFonts w:ascii="Times New Roman" w:hAnsi="Times New Roman" w:cs="Times New Roman"/>
          <w:sz w:val="28"/>
          <w:szCs w:val="28"/>
        </w:rPr>
        <w:t xml:space="preserve"> или кремль. Кольцом его окружали посады ремесленников, а на окраинах располагались слободки. Укреплялся город земляными валами, деревянным тыном, естественными или искусственными водоемами. Жилые строения были в основном из дерева. Дерево вообще широко используется в то время не только в строительстве, но и в мощении дорог, в городском благоустройстве. </w:t>
      </w:r>
    </w:p>
    <w:p w:rsidR="0006208D" w:rsidRDefault="006E5E31" w:rsidP="006E5E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E31">
        <w:rPr>
          <w:rFonts w:ascii="Times New Roman" w:hAnsi="Times New Roman" w:cs="Times New Roman"/>
          <w:sz w:val="28"/>
          <w:szCs w:val="28"/>
        </w:rPr>
        <w:t xml:space="preserve">После принятия Православия начали строиться многочисленные монастыри и храмы. Первые величественные соборы Новгорода и Ростова Великого были деревянными. По сохранившимся иконописным изображениям можно судить о сложности и архитектурной изысканности деревянных храмов и палат.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E5E31">
        <w:rPr>
          <w:rFonts w:ascii="Times New Roman" w:hAnsi="Times New Roman" w:cs="Times New Roman"/>
          <w:sz w:val="28"/>
          <w:szCs w:val="28"/>
        </w:rPr>
        <w:t xml:space="preserve">989 году в Киеве была заложена первая каменная церковь. На рубеже веков был заложен Спасский собор в Чернигове. И почти сразу же после него – Софийский собор в Киеве. Софийский собор – большой </w:t>
      </w:r>
      <w:proofErr w:type="spellStart"/>
      <w:r w:rsidRPr="006E5E31">
        <w:rPr>
          <w:rFonts w:ascii="Times New Roman" w:hAnsi="Times New Roman" w:cs="Times New Roman"/>
          <w:sz w:val="28"/>
          <w:szCs w:val="28"/>
        </w:rPr>
        <w:t>пятинефный</w:t>
      </w:r>
      <w:proofErr w:type="spellEnd"/>
      <w:r w:rsidRPr="006E5E31">
        <w:rPr>
          <w:rFonts w:ascii="Times New Roman" w:hAnsi="Times New Roman" w:cs="Times New Roman"/>
          <w:sz w:val="28"/>
          <w:szCs w:val="28"/>
        </w:rPr>
        <w:t xml:space="preserve"> храм. Своды выполнены по схеме вписанного креста. С восточной стороны – пять апсид, со всех остальных сторон расположены двухэтажные галереи. Снаружи к ним примыкает еще ряд одноэтажных, и более широких галерей. В западную наружную галерею вмонтированы две башни, с лесенками для подъема на хоры. Сами хоры открываются во внутреннее пространство двухъярусными тройными аркадами, опирающимися на два профилированных столба. Помимо центральной главы на мощном барабане, прорезанном большими окнами, у собора есть еще 12 глав, не считая </w:t>
      </w:r>
      <w:proofErr w:type="spellStart"/>
      <w:r w:rsidRPr="006E5E31">
        <w:rPr>
          <w:rFonts w:ascii="Times New Roman" w:hAnsi="Times New Roman" w:cs="Times New Roman"/>
          <w:sz w:val="28"/>
          <w:szCs w:val="28"/>
        </w:rPr>
        <w:t>наверший</w:t>
      </w:r>
      <w:proofErr w:type="spellEnd"/>
      <w:r w:rsidRPr="006E5E31">
        <w:rPr>
          <w:rFonts w:ascii="Times New Roman" w:hAnsi="Times New Roman" w:cs="Times New Roman"/>
          <w:sz w:val="28"/>
          <w:szCs w:val="28"/>
        </w:rPr>
        <w:t xml:space="preserve"> башен. Здание имеет четкую пирамидальную композицию, которая придает зданию цельность и величественность. </w:t>
      </w:r>
    </w:p>
    <w:p w:rsidR="0006208D" w:rsidRDefault="006E5E31" w:rsidP="006E5E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E31">
        <w:rPr>
          <w:rFonts w:ascii="Times New Roman" w:hAnsi="Times New Roman" w:cs="Times New Roman"/>
          <w:sz w:val="28"/>
          <w:szCs w:val="28"/>
        </w:rPr>
        <w:t xml:space="preserve">XVI век – это век расцвета русского зодчества. Быстро разрастались и посады. Особенно Великий Посад, ставший к XVI веку торговым центром столицы. Кремль был одновременно центром общественной жизни и резиденцией великого князя. </w:t>
      </w:r>
    </w:p>
    <w:p w:rsidR="0006208D" w:rsidRDefault="006E5E31" w:rsidP="006E5E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E31">
        <w:rPr>
          <w:rFonts w:ascii="Times New Roman" w:hAnsi="Times New Roman" w:cs="Times New Roman"/>
          <w:sz w:val="28"/>
          <w:szCs w:val="28"/>
        </w:rPr>
        <w:t xml:space="preserve">Все древнерусские города вписывались в существующий ландшафт и отличались радиально-кольцевой планировочной структурой, кроме того, застройка не была плотной. У каждого дома был сад и большое приусадебное хозяйство. </w:t>
      </w:r>
    </w:p>
    <w:p w:rsidR="006E5E31" w:rsidRPr="006E5E31" w:rsidRDefault="006E5E31" w:rsidP="006E5E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E31">
        <w:rPr>
          <w:rFonts w:ascii="Times New Roman" w:hAnsi="Times New Roman" w:cs="Times New Roman"/>
          <w:sz w:val="28"/>
          <w:szCs w:val="28"/>
        </w:rPr>
        <w:t xml:space="preserve">Стремление зодчих раннемосковского стиля к динамике и неординарности привело к созданию храмов: Вознесения в селе Коломенском, Покрова на рву – всемирно известного храма Василия Блаженного на Красной площади, Всех святых на </w:t>
      </w:r>
      <w:proofErr w:type="spellStart"/>
      <w:r w:rsidRPr="006E5E31">
        <w:rPr>
          <w:rFonts w:ascii="Times New Roman" w:hAnsi="Times New Roman" w:cs="Times New Roman"/>
          <w:sz w:val="28"/>
          <w:szCs w:val="28"/>
        </w:rPr>
        <w:t>Кулишках</w:t>
      </w:r>
      <w:proofErr w:type="spellEnd"/>
      <w:r w:rsidRPr="006E5E31">
        <w:rPr>
          <w:rFonts w:ascii="Times New Roman" w:hAnsi="Times New Roman" w:cs="Times New Roman"/>
          <w:sz w:val="28"/>
          <w:szCs w:val="28"/>
        </w:rPr>
        <w:t xml:space="preserve"> (на нынешней Славянской площади). Силуэты храмов всегда удивительно стройны и пропорциональны, им присуща необыкновенная воздушность и стремительная направленность к небу, особая динамичность, зачастую асимметрия, используются арки и арочные своды. Отличает их и то, что декоративные детали скрадывают тяжесть конструкции и всегда кажутся зрителю нарядными и изумительно красивыми, обязательно присутствует чарующая пластика и легкость, и всегда все строения идеально вписаны в окружающий ландшафт.</w:t>
      </w:r>
    </w:p>
    <w:p w:rsidR="006E5E31" w:rsidRPr="006E5E31" w:rsidRDefault="006E5E31" w:rsidP="006E5E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5E31" w:rsidRDefault="006E5E31" w:rsidP="006E5E3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E31">
        <w:rPr>
          <w:rFonts w:ascii="Times New Roman" w:hAnsi="Times New Roman" w:cs="Times New Roman"/>
          <w:b/>
          <w:sz w:val="28"/>
          <w:szCs w:val="28"/>
        </w:rPr>
        <w:lastRenderedPageBreak/>
        <w:t>Образы героев в древнегреческих поэ</w:t>
      </w:r>
      <w:r w:rsidR="00732EC4">
        <w:rPr>
          <w:rFonts w:ascii="Times New Roman" w:hAnsi="Times New Roman" w:cs="Times New Roman"/>
          <w:b/>
          <w:sz w:val="28"/>
          <w:szCs w:val="28"/>
        </w:rPr>
        <w:t>мах Гомера «Илиада» и «Одиссея»</w:t>
      </w:r>
    </w:p>
    <w:p w:rsidR="00732EC4" w:rsidRPr="006E5E31" w:rsidRDefault="00732EC4" w:rsidP="00732EC4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732EC4" w:rsidRPr="00732EC4" w:rsidRDefault="00732EC4" w:rsidP="00732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EC4">
        <w:rPr>
          <w:rFonts w:ascii="Times New Roman" w:hAnsi="Times New Roman" w:cs="Times New Roman"/>
          <w:sz w:val="28"/>
          <w:szCs w:val="28"/>
        </w:rPr>
        <w:t xml:space="preserve">Древнейшими письменными памятниками древнегреческой литературы считаются поэмы «Илиада» и «Одиссея», созданные приблизительно в VIII—VII столетии до н.э. легендарным автором Гомером и записанные по приказу афинского правителя </w:t>
      </w:r>
      <w:proofErr w:type="spellStart"/>
      <w:r w:rsidRPr="00732EC4">
        <w:rPr>
          <w:rFonts w:ascii="Times New Roman" w:hAnsi="Times New Roman" w:cs="Times New Roman"/>
          <w:sz w:val="28"/>
          <w:szCs w:val="28"/>
        </w:rPr>
        <w:t>Писистрата</w:t>
      </w:r>
      <w:proofErr w:type="spellEnd"/>
      <w:r w:rsidRPr="00732EC4">
        <w:rPr>
          <w:rFonts w:ascii="Times New Roman" w:hAnsi="Times New Roman" w:cs="Times New Roman"/>
          <w:sz w:val="28"/>
          <w:szCs w:val="28"/>
        </w:rPr>
        <w:t xml:space="preserve"> в VI ст. </w:t>
      </w:r>
      <w:proofErr w:type="gramStart"/>
      <w:r w:rsidRPr="00732EC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32EC4">
        <w:rPr>
          <w:rFonts w:ascii="Times New Roman" w:hAnsi="Times New Roman" w:cs="Times New Roman"/>
          <w:sz w:val="28"/>
          <w:szCs w:val="28"/>
        </w:rPr>
        <w:t xml:space="preserve"> н.э.</w:t>
      </w:r>
    </w:p>
    <w:p w:rsidR="00732EC4" w:rsidRPr="00732EC4" w:rsidRDefault="00732EC4" w:rsidP="00732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EC4">
        <w:rPr>
          <w:rFonts w:ascii="Times New Roman" w:hAnsi="Times New Roman" w:cs="Times New Roman"/>
          <w:sz w:val="28"/>
          <w:szCs w:val="28"/>
        </w:rPr>
        <w:t>Обе поэмы принадлежат к жанру героического эпоса, где рядом с известными историческими фигурами обрисован легендарный и мифологический герой. Почтительное отношение к богам, любовь и уважение к родителям, защита отчизны - вот основные заповеди греков, воспроизведенные в поэмах Гомера.</w:t>
      </w:r>
    </w:p>
    <w:p w:rsidR="00732EC4" w:rsidRPr="00732EC4" w:rsidRDefault="00732EC4" w:rsidP="00732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EC4">
        <w:rPr>
          <w:rFonts w:ascii="Times New Roman" w:hAnsi="Times New Roman" w:cs="Times New Roman"/>
          <w:sz w:val="28"/>
          <w:szCs w:val="28"/>
        </w:rPr>
        <w:t>Поэма «Илиада» является непревзойденной энциклопедией военных действий, социальной жизни Давней Греции, моральных устоев, обычаев, культуры античного мира. Основной движущей силой сюжета «Илиады» есть гнев Ахилла вследствие его ссоры с военачальником греков Агамемноном.</w:t>
      </w:r>
    </w:p>
    <w:p w:rsidR="00732EC4" w:rsidRPr="00732EC4" w:rsidRDefault="00732EC4" w:rsidP="00732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EC4">
        <w:rPr>
          <w:rFonts w:ascii="Times New Roman" w:hAnsi="Times New Roman" w:cs="Times New Roman"/>
          <w:sz w:val="28"/>
          <w:szCs w:val="28"/>
        </w:rPr>
        <w:t xml:space="preserve">Мастерство Гомера заключается не только в изображении батальных сцен битвы между троянцами и греками, описании героических подвигов персонажей, как с одного, так и с другого вражеского лагеря. Лиричностью, нежностью проникнуты строки, которые рассказывают о прощании Гектора с любимой женой </w:t>
      </w:r>
      <w:proofErr w:type="spellStart"/>
      <w:r w:rsidRPr="00732EC4">
        <w:rPr>
          <w:rFonts w:ascii="Times New Roman" w:hAnsi="Times New Roman" w:cs="Times New Roman"/>
          <w:sz w:val="28"/>
          <w:szCs w:val="28"/>
        </w:rPr>
        <w:t>Андромахой</w:t>
      </w:r>
      <w:proofErr w:type="spellEnd"/>
      <w:r w:rsidRPr="00732EC4">
        <w:rPr>
          <w:rFonts w:ascii="Times New Roman" w:hAnsi="Times New Roman" w:cs="Times New Roman"/>
          <w:sz w:val="28"/>
          <w:szCs w:val="28"/>
        </w:rPr>
        <w:t>.</w:t>
      </w:r>
    </w:p>
    <w:p w:rsidR="00732EC4" w:rsidRPr="00732EC4" w:rsidRDefault="00732EC4" w:rsidP="00732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EC4">
        <w:rPr>
          <w:rFonts w:ascii="Times New Roman" w:hAnsi="Times New Roman" w:cs="Times New Roman"/>
          <w:sz w:val="28"/>
          <w:szCs w:val="28"/>
        </w:rPr>
        <w:t>Руководствуясь моральными основами античности, где герой, в первую очередь, проявляет мужество, силу, отвагу, защищая свою землю, Гомер изображает Гектора и как нежного мужа и отца, и как сильного человека, которому хочется видеть таким же сильным и мужественным своего сына.</w:t>
      </w:r>
    </w:p>
    <w:p w:rsidR="000B5A22" w:rsidRDefault="00732EC4" w:rsidP="00732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EC4">
        <w:rPr>
          <w:rFonts w:ascii="Times New Roman" w:hAnsi="Times New Roman" w:cs="Times New Roman"/>
          <w:sz w:val="28"/>
          <w:szCs w:val="28"/>
        </w:rPr>
        <w:t xml:space="preserve">Как и главные герои «Илиады» - Ахилл и Гектор - так и Одиссей в поэме «Одиссея» лишен сугубо эгоистических черт и мелочности. События поэмы полностью связаны с судьбой многострадального Одиссея, который был активным участником осады Трои. </w:t>
      </w:r>
    </w:p>
    <w:p w:rsidR="00000000" w:rsidRPr="00732EC4" w:rsidRDefault="00732EC4" w:rsidP="000B5A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EC4">
        <w:rPr>
          <w:rFonts w:ascii="Times New Roman" w:hAnsi="Times New Roman" w:cs="Times New Roman"/>
          <w:sz w:val="28"/>
          <w:szCs w:val="28"/>
        </w:rPr>
        <w:t xml:space="preserve">Одиссей отказывается от бессмертия, которым его соблазняет Калипсо, ради непреодолимого желания возвратиться на Родину, к жене Пенелопе и сыну </w:t>
      </w:r>
      <w:proofErr w:type="spellStart"/>
      <w:r w:rsidRPr="00732EC4">
        <w:rPr>
          <w:rFonts w:ascii="Times New Roman" w:hAnsi="Times New Roman" w:cs="Times New Roman"/>
          <w:sz w:val="28"/>
          <w:szCs w:val="28"/>
        </w:rPr>
        <w:t>Телемаху</w:t>
      </w:r>
      <w:proofErr w:type="spellEnd"/>
      <w:r w:rsidRPr="00732E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2EC4" w:rsidRPr="006E5E31" w:rsidRDefault="00732EC4" w:rsidP="006E5E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32EC4" w:rsidRPr="006E5E31" w:rsidSect="006E5E31">
      <w:pgSz w:w="11906" w:h="16838"/>
      <w:pgMar w:top="568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55BCB"/>
    <w:multiLevelType w:val="hybridMultilevel"/>
    <w:tmpl w:val="67767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>
    <w:useFELayout/>
  </w:compat>
  <w:rsids>
    <w:rsidRoot w:val="006E5E31"/>
    <w:rsid w:val="0006208D"/>
    <w:rsid w:val="000B5A22"/>
    <w:rsid w:val="006E5E31"/>
    <w:rsid w:val="00732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2012-05-12T17:17:00Z</dcterms:created>
  <dcterms:modified xsi:type="dcterms:W3CDTF">2012-05-12T17:32:00Z</dcterms:modified>
</cp:coreProperties>
</file>